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wordprocessingml.footer+xml" PartName="/word/footer3.xml"/>
  <Override ContentType="application/vnd.openxmlformats-officedocument.wordprocessingml.header+xml" PartName="/word/header4.xml"/>
  <Override ContentType="application/vnd.openxmlformats-officedocument.wordprocessingml.footer+xml" PartName="/word/footer4.xml"/>
  <Override ContentType="application/vnd.openxmlformats-officedocument.wordprocessingml.header+xml" PartName="/word/header5.xml"/>
  <Override ContentType="application/vnd.openxmlformats-officedocument.wordprocessingml.footer+xml" PartName="/word/footer5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</w:pPr>
      <w:r>
        <w:rPr>
          <w:sz w:val="40"/>
          <w:szCs w:val="40"/>
        </w:rPr>
        <w:t xml:space="preserve"/>
      </w:r>
    </w:p>
    <w:p>
      <w:pPr>
        <w:spacing w:after="0" w:before="0"/>
      </w:pPr>
      <w:r>
        <w:rPr>
          <w:sz w:val="40"/>
          <w:szCs w:val="40"/>
        </w:rPr>
        <w:t xml:space="preserve"/>
      </w:r>
    </w:p>
    <w:p>
      <w:pPr>
        <w:spacing w:after="0" w:before="0"/>
      </w:pPr>
      <w:r>
        <w:rPr>
          <w:sz w:val="40"/>
          <w:szCs w:val="40"/>
        </w:rPr>
        <w:t xml:space="preserve"/>
      </w:r>
    </w:p>
    <w:p>
      <w:pPr>
        <w:spacing w:after="0" w:before="0"/>
      </w:pPr>
      <w:r>
        <w:rPr>
          <w:sz w:val="40"/>
          <w:szCs w:val="40"/>
        </w:rPr>
        <w:t xml:space="preserve"/>
      </w:r>
    </w:p>
    <w:tbl>
      <w:tblPr>
        <w:tblW w:type="dxa" w:w="2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66666"/>
                <w:sz w:val="20"/>
                <w:szCs w:val="20"/>
              </w:rPr>
              <w:t xml:space="preserve">[LOGO]</w:t>
            </w:r>
          </w:p>
        </w:tc>
      </w:tr>
    </w:tbl>
    <w:p>
      <w:pPr>
        <w:spacing w:after="0" w:before="0"/>
      </w:pPr>
      <w:r>
        <w:rPr>
          <w:sz w:val="40"/>
          <w:szCs w:val="40"/>
        </w:rPr>
        <w:t xml:space="preserve"/>
      </w:r>
    </w:p>
    <w:p>
      <w:pPr>
        <w:spacing w:after="0" w:before="0"/>
      </w:pPr>
      <w:r>
        <w:rPr>
          <w:sz w:val="40"/>
          <w:szCs w:val="40"/>
        </w:rPr>
        <w:t xml:space="preserve"/>
      </w:r>
    </w:p>
    <w:tbl>
      <w:tblPr>
        <w:tblW w:type="dxa" w:w="907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0"/>
      </w:tblGrid>
      <w:tr>
        <w:trPr>
          <w:trHeight w:val="80" w:hRule="exact"/>
        </w:trPr>
        <w:tc>
          <w:tcPr>
            <w:tcW w:type="dxa" w:w="9070"/>
            <w:tcBorders>
              <w:top w:val="none" w:sz="0"/>
              <w:left w:val="none" w:sz="0"/>
              <w:bottom w:val="none" w:sz="0"/>
              <w:right w:val="none" w:sz="0"/>
            </w:tcBorders>
            <w:shd w:fill="01696F" w:val="clear"/>
          </w:tcPr>
          <w:p>
            <w:pPr>
              <w:spacing w:after="0" w:before="0"/>
            </w:pPr>
            <w:r>
              <w:rPr>
                <w:sz w:val="4"/>
                <w:szCs w:val="4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52"/>
          <w:szCs w:val="52"/>
        </w:rPr>
        <w:t xml:space="preserve">KI im Unternehmeralltag</w:t>
      </w:r>
    </w:p>
    <w:p>
      <w:pPr>
        <w:spacing w:after="40" w:before="0"/>
      </w:pPr>
      <w:r>
        <w:rPr>
          <w:rFonts w:ascii="Calibri" w:cs="Calibri" w:eastAsia="Calibri" w:hAnsi="Calibri"/>
          <w:color w:val="01696F"/>
          <w:sz w:val="32"/>
          <w:szCs w:val="32"/>
        </w:rPr>
        <w:t xml:space="preserve">Chancen nutzen, Risiken kennen, rechtssicher handeln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tbl>
      <w:tblPr>
        <w:tblW w:type="dxa" w:w="3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</w:tblGrid>
      <w:tr>
        <w:trPr>
          <w:trHeight w:val="40" w:hRule="exact"/>
        </w:trPr>
        <w:tc>
          <w:tcPr>
            <w:tcW w:type="dxa" w:w="3000"/>
            <w:tcBorders>
              <w:top w:val="none" w:sz="0"/>
              <w:left w:val="none" w:sz="0"/>
              <w:bottom w:val="none" w:sz="0"/>
              <w:right w:val="none" w:sz="0"/>
            </w:tcBorders>
            <w:shd w:fill="01696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60" w:before="20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2-Stunden-Workshop für den Bund der Selbständigen Bayern, München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40" w:before="100"/>
      </w:pPr>
      <w:r>
        <w:rPr>
          <w:rFonts w:ascii="Calibri" w:cs="Calibri" w:eastAsia="Calibri" w:hAnsi="Calibri"/>
          <w:color w:val="666666"/>
          <w:sz w:val="22"/>
          <w:szCs w:val="22"/>
        </w:rPr>
        <w:t xml:space="preserve">Referent: </w:t>
      </w: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Arno Schimmelpfennig</w:t>
      </w:r>
    </w:p>
    <w:p>
      <w:pPr>
        <w:spacing w:after="40" w:before="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Leiter KI-Akademie BDS Bayern | DIN-Projektgruppe „KI in der Normenpraxis“ (Vorsitzender)</w:t>
      </w:r>
    </w:p>
    <w:p>
      <w:pPr>
        <w:spacing w:after="40" w:before="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AI Act-Compliance-Experte | SALA-Didaktik-Entwickler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40" w:before="100"/>
      </w:pPr>
      <w:r>
        <w:rPr>
          <w:rFonts w:ascii="Calibri" w:cs="Calibri" w:eastAsia="Calibri" w:hAnsi="Calibri"/>
          <w:color w:val="666666"/>
          <w:sz w:val="22"/>
          <w:szCs w:val="22"/>
        </w:rPr>
        <w:t xml:space="preserve">Datum: </w:t>
      </w:r>
      <w:r>
        <w:rPr>
          <w:rFonts w:ascii="Calibri" w:cs="Calibri" w:eastAsia="Calibri" w:hAnsi="Calibri"/>
          <w:b/>
          <w:bCs/>
          <w:color w:val="01696F"/>
          <w:sz w:val="22"/>
          <w:szCs w:val="22"/>
        </w:rPr>
        <w:t xml:space="preserve">[Datum einfügen]</w:t>
      </w:r>
    </w:p>
    <w:p>
      <w:pPr>
        <w:spacing w:after="40" w:before="40"/>
      </w:pPr>
      <w:r>
        <w:rPr>
          <w:rFonts w:ascii="Calibri" w:cs="Calibri" w:eastAsia="Calibri" w:hAnsi="Calibri"/>
          <w:color w:val="666666"/>
          <w:sz w:val="22"/>
          <w:szCs w:val="22"/>
        </w:rPr>
        <w:t xml:space="preserve">Ort: </w:t>
      </w:r>
      <w:r>
        <w:rPr>
          <w:rFonts w:ascii="Calibri" w:cs="Calibri" w:eastAsia="Calibri" w:hAnsi="Calibri"/>
          <w:color w:val="1A1A1A"/>
          <w:sz w:val="22"/>
          <w:szCs w:val="22"/>
        </w:rPr>
        <w:t xml:space="preserve">München</w:t>
      </w:r>
    </w:p>
    <w:p>
      <w:pPr>
        <w:sectPr>
          <w:pgSz w:w="11906" w:h="16838" w:orient="portrait"/>
          <w:pgMar w:top="1418" w:right="1418" w:bottom="1418" w:left="1418" w:header="708" w:footer="708" w:gutter="0"/>
          <w:pgNumType/>
          <w:docGrid w:linePitch="360"/>
        </w:sectPr>
      </w:pPr>
    </w:p>
    <w:p>
      <w:pPr>
        <w:pStyle w:val="Heading1"/>
        <w:spacing w:after="180" w:before="360"/>
      </w:pPr>
      <w:r>
        <w:rPr>
          <w:rFonts w:ascii="Calibri" w:cs="Calibri" w:eastAsia="Calibri" w:hAnsi="Calibri"/>
          <w:b/>
          <w:bCs/>
          <w:color w:val="01696F"/>
          <w:sz w:val="32"/>
          <w:szCs w:val="32"/>
        </w:rPr>
        <w:t xml:space="preserve">Zielgruppendefinition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6"/>
          <w:szCs w:val="26"/>
        </w:rPr>
        <w:t xml:space="preserve">Primärzielgruppe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Inhaber und Geschäftsführer kleiner und mittlerer Unternehmen (1–50 MA) in Bayern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Freiberufler (Steuerberater, Rechtsanwälte, Architekten, Berater)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Handwerksbetriebe (Meister, Betriebsinhaber)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Einzelhändler und Gastronomen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Dienstleister (IT, Marketing, Immobilien, Versicherungen)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6"/>
          <w:szCs w:val="26"/>
        </w:rPr>
        <w:t xml:space="preserve">Demografische Merkmale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Alter: 35–65 Jahre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Unternehmensgröße: 1–50 Mitarbeiter (Schwerpunkt 1–10)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Branche: branchenübergreifend (BDS vertritt ca. 14.000–16.000 Mitgliedsunternehmen)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sz w:val="22"/>
          <w:szCs w:val="22"/>
        </w:rPr>
        <w:t xml:space="preserve">KI-Vorkenntnisse: gering bis mittel – nur 17 % der kleinen Unternehmen (10–49 Beschäftigte) nutzen KI</w:t>
      </w:r>
      <w:r>
        <w:rPr>
          <w:rStyle w:val="FootnoteReference"/>
        </w:rPr>
        <w:footnoteReference w:id="4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Hauptmotivation: Wettbewerbsfähigkeit, Zeitersparnis, Rechtssicherheit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6"/>
          <w:szCs w:val="26"/>
        </w:rPr>
        <w:t xml:space="preserve">Schmerzpunkte / Pain Points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Orientierungslosigkeit: </w:t>
      </w:r>
      <w:r>
        <w:rPr>
          <w:rFonts w:ascii="Calibri" w:cs="Calibri" w:eastAsia="Calibri" w:hAnsi="Calibri"/>
          <w:sz w:val="22"/>
          <w:szCs w:val="22"/>
        </w:rPr>
        <w:t xml:space="preserve">Welche KI-Tools sind für meinen Betrieb relevant? 60 % der kleinen Unternehmen nutzen KI weder noch planen sie den Einsatz.</w:t>
      </w:r>
      <w:r>
        <w:rPr>
          <w:rStyle w:val="FootnoteReference"/>
        </w:rPr>
        <w:footnoteReference w:id="2"/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AI Act-Unsicherheit: </w:t>
      </w:r>
      <w:r>
        <w:rPr>
          <w:rFonts w:ascii="Calibri" w:cs="Calibri" w:eastAsia="Calibri" w:hAnsi="Calibri"/>
          <w:sz w:val="22"/>
          <w:szCs w:val="22"/>
        </w:rPr>
        <w:t xml:space="preserve">Art. 4 KI-Kompetenzpflicht gilt seit Feb 2025 – vollständige Anwendbarkeit ab Aug 2026.</w:t>
      </w:r>
      <w:r>
        <w:rPr>
          <w:rStyle w:val="FootnoteReference"/>
        </w:rPr>
        <w:footnoteReference w:id="3"/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Fachkräftemangel: </w:t>
      </w:r>
      <w:r>
        <w:rPr>
          <w:rFonts w:ascii="Calibri" w:cs="Calibri" w:eastAsia="Calibri" w:hAnsi="Calibri"/>
          <w:sz w:val="22"/>
          <w:szCs w:val="22"/>
        </w:rPr>
        <w:t xml:space="preserve">Bayern fehlen 1,3 Mio. Arbeitskräfte bis 2030 – KI als Kompensationsstrategie?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DSGVO/Datenschutz: </w:t>
      </w:r>
      <w:r>
        <w:rPr>
          <w:rFonts w:ascii="Calibri" w:cs="Calibri" w:eastAsia="Calibri" w:hAnsi="Calibri"/>
          <w:sz w:val="22"/>
          <w:szCs w:val="22"/>
        </w:rPr>
        <w:t xml:space="preserve">Darf ich Kundendaten in KI-Tools eingeben? Welche Transparenzpflichten gelten?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Kosten und Zeitdruck: </w:t>
      </w:r>
      <w:r>
        <w:rPr>
          <w:rFonts w:ascii="Calibri" w:cs="Calibri" w:eastAsia="Calibri" w:hAnsi="Calibri"/>
          <w:sz w:val="22"/>
          <w:szCs w:val="22"/>
        </w:rPr>
        <w:t xml:space="preserve">Steigende Betriebskosten bei wenig Zeit für Weiterbildung – KI muss sofort Mehrwert liefern.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6"/>
          <w:szCs w:val="26"/>
        </w:rPr>
        <w:t xml:space="preserve">Lernziele</w:t>
      </w:r>
    </w:p>
    <w:p>
      <w:pPr>
        <w:spacing w:after="60" w:before="60"/>
      </w:pPr>
      <w:r>
        <w:rPr>
          <w:rFonts w:ascii="Calibri" w:cs="Calibri" w:eastAsia="Calibri" w:hAnsi="Calibri"/>
          <w:i/>
          <w:iCs/>
          <w:color w:val="666666"/>
          <w:sz w:val="22"/>
          <w:szCs w:val="22"/>
        </w:rPr>
        <w:t xml:space="preserve">Nach dem Workshop können die Teilnehmer: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Mindestens ein KI-Tool </w:t>
      </w:r>
      <w:r>
        <w:rPr>
          <w:rFonts w:ascii="Calibri" w:cs="Calibri" w:eastAsia="Calibri" w:hAnsi="Calibri"/>
          <w:sz w:val="22"/>
          <w:szCs w:val="22"/>
        </w:rPr>
        <w:t xml:space="preserve">eigenständig für einen konkreten Geschäftsprozess einsetzen (z. B. Angebotserstellung, Produktbeschreibungen, Kundenanfragen).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Die wichtigsten AI Act-Pflichten </w:t>
      </w:r>
      <w:r>
        <w:rPr>
          <w:rFonts w:ascii="Calibri" w:cs="Calibri" w:eastAsia="Calibri" w:hAnsi="Calibri"/>
          <w:sz w:val="22"/>
          <w:szCs w:val="22"/>
        </w:rPr>
        <w:t xml:space="preserve">für ihr Unternehmen benennen und eine Basis-Compliance-Checkliste anwenden.</w:t>
      </w:r>
    </w:p>
    <w:p>
      <w:pPr>
        <w:pStyle w:val="ListParagraph"/>
        <w:numPr>
          <w:ilvl w:val="0"/>
          <w:numId w:val="4"/>
        </w:numPr>
        <w:spacing w:after="40" w:before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Einen persönlichen KI-Fahrplan </w:t>
      </w:r>
      <w:r>
        <w:rPr>
          <w:rFonts w:ascii="Calibri" w:cs="Calibri" w:eastAsia="Calibri" w:hAnsi="Calibri"/>
          <w:sz w:val="22"/>
          <w:szCs w:val="22"/>
        </w:rPr>
        <w:t xml:space="preserve">mit einem konkreten nächsten Schritt für die kommende Woche formulieren.</w:t>
      </w:r>
    </w:p>
    <w:p>
      <w:pPr>
        <w:sectPr>
          <w:headerReference w:type="default" r:id="rId7"/>
          <w:footerReference w:type="default" r:id="rId8"/>
          <w:pgSz w:w="11906" w:h="16838" w:orient="portrait"/>
          <w:pgMar w:top="1418" w:right="1418" w:bottom="1418" w:left="1418" w:header="708" w:footer="708" w:gutter="0"/>
          <w:pgNumType/>
          <w:docGrid w:linePitch="360"/>
        </w:sectPr>
      </w:pPr>
    </w:p>
    <w:p>
      <w:pPr>
        <w:pStyle w:val="Heading1"/>
        <w:spacing w:after="180" w:before="360"/>
      </w:pPr>
      <w:r>
        <w:rPr>
          <w:rFonts w:ascii="Calibri" w:cs="Calibri" w:eastAsia="Calibri" w:hAnsi="Calibri"/>
          <w:b/>
          <w:bCs/>
          <w:color w:val="01696F"/>
          <w:sz w:val="32"/>
          <w:szCs w:val="32"/>
        </w:rPr>
        <w:t xml:space="preserve">Workshop-Ablaufplan</w:t>
      </w:r>
    </w:p>
    <w:p>
      <w:pPr>
        <w:spacing w:after="120" w:before="60"/>
      </w:pPr>
      <w:r>
        <w:rPr>
          <w:rFonts w:ascii="Calibri" w:cs="Calibri" w:eastAsia="Calibri" w:hAnsi="Calibri"/>
          <w:b/>
          <w:bCs/>
          <w:color w:val="01696F"/>
          <w:sz w:val="22"/>
          <w:szCs w:val="22"/>
        </w:rPr>
        <w:t xml:space="preserve">Didaktisches Konzept: SALA-Methodik </w:t>
      </w:r>
      <w:r>
        <w:rPr>
          <w:rFonts w:ascii="Calibri" w:cs="Calibri" w:eastAsia="Calibri" w:hAnsi="Calibri"/>
          <w:color w:val="666666"/>
          <w:sz w:val="22"/>
          <w:szCs w:val="22"/>
        </w:rPr>
        <w:t xml:space="preserve">(Social-Agile Learning Architecture) – Maximale Interaktion, Triple Focus (3 Kernbotschaften), Quick-Wins, Guided/Explorative Path.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6"/>
          <w:szCs w:val="26"/>
        </w:rPr>
        <w:t xml:space="preserve">Block 1: Ankommen &amp; Aktivierung (15 Min)</w:t>
      </w:r>
    </w:p>
    <w:tbl>
      <w:tblPr>
        <w:tblW w:type="dxa" w:w="907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600"/>
        <w:gridCol w:w="2400"/>
        <w:gridCol w:w="2670"/>
      </w:tblGrid>
      <w:tr>
        <w:trPr>
          <w:tblHeader/>
        </w:trP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Zeit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Inhalt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Methode</w:t>
            </w:r>
          </w:p>
        </w:tc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Moderationsnotiz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17:00–17:05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Begrüßung &amp; KI-Hook: Provokante Frage oder Live-Demo (z. B. „Ich habe diese Begrüßung von einer KI schreiben lassen – oder doch nicht?“)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Storytelling, Live-Demo</w:t>
            </w:r>
          </w:p>
        </w:tc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20"/>
                <w:szCs w:val="20"/>
              </w:rPr>
              <w:t xml:space="preserve">Sofort Aufmerksamkeit erzeugen. Roter Faden: ‘KI ist näher als Sie denken.’ Stehend präsentieren, Blickkontakt.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17:05–17:10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Peer-Check-In: „Was ist Ihre größte KI-Frage?“ – Teilnehmer tauschen sich zu zweit aus.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Murmelgruppe (2er-Teams)</w:t>
            </w:r>
          </w:p>
        </w:tc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20"/>
                <w:szCs w:val="20"/>
              </w:rPr>
              <w:t xml:space="preserve">Aktivierung durch Peer-Austausch. Alternativ: Mentimeter-Wortwolke, falls WLAN stabil.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17:10–17:15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Ergebnisse clustern, Agenda-Überblick: 3 Versprechen für den Abend vorstellen.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Plenum, Flipchart/Folie</w:t>
            </w:r>
          </w:p>
        </w:tc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20"/>
                <w:szCs w:val="20"/>
              </w:rPr>
              <w:t xml:space="preserve">Erwartungen spiegeln. Triple Focus ankündigen: (1) KI verstehen, (2) Rechtssicher handeln, (3) Sofort anwenden.</w:t>
            </w:r>
          </w:p>
        </w:tc>
      </w:tr>
    </w:tbl>
    <w:p>
      <w:pPr>
        <w:spacing w:after="0" w:before="0"/>
      </w:pPr>
      <w:r>
        <w:rPr>
          <w:sz w:val="10"/>
          <w:szCs w:val="10"/>
        </w:rPr>
        <w:t xml:space="preserve"/>
      </w:r>
    </w:p>
    <w:tbl>
      <w:tblPr>
        <w:tblW w:type="dxa" w:w="907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0"/>
      </w:tblGrid>
      <w:tr>
        <w:tc>
          <w:tcPr>
            <w:tcW w:type="dxa" w:w="9070"/>
            <w:tcBorders>
              <w:top w:val="single" w:color="01696F" w:sz="1"/>
              <w:left w:val="single" w:color="01696F" w:sz="6"/>
              <w:bottom w:val="single" w:color="01696F" w:sz="1"/>
              <w:right w:val="single" w:color="01696F" w:sz="1"/>
            </w:tcBorders>
            <w:shd w:fill="F0F8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01696F"/>
                <w:sz w:val="20"/>
                <w:szCs w:val="20"/>
              </w:rPr>
              <w:t xml:space="preserve">Moderationsnotiz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20"/>
                <w:szCs w:val="20"/>
              </w:rPr>
              <w:t xml:space="preserve">Storytelling-Element: Persönliche Anekdote (z. B. ‘Als ich das erste Mal ChatGPT für ein Angebot genutzt habe...’)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20"/>
                <w:szCs w:val="20"/>
              </w:rPr>
              <w:t xml:space="preserve">Interaktionsmethode: Hand-heben-Abfrage → ‘Wer hat schon einmal ChatGPT benutzt?’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20"/>
                <w:szCs w:val="20"/>
              </w:rPr>
              <w:t xml:space="preserve">Timing strikt einhalten – Block darf nicht überziehen, da er den Energielevel für den gesamten Workshop setzt.</w:t>
            </w:r>
          </w:p>
        </w:tc>
      </w:tr>
    </w:tbl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6"/>
          <w:szCs w:val="26"/>
        </w:rPr>
        <w:t xml:space="preserve">Block 2: KI verstehen – Orientierung für Entscheider (25 Min)</w:t>
      </w:r>
    </w:p>
    <w:tbl>
      <w:tblPr>
        <w:tblW w:type="dxa" w:w="907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600"/>
        <w:gridCol w:w="2400"/>
        <w:gridCol w:w="2670"/>
      </w:tblGrid>
      <w:tr>
        <w:trPr>
          <w:tblHeader/>
        </w:trP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Zeit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Inhalt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Methode</w:t>
            </w:r>
          </w:p>
        </w:tc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Moderationsnotiz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17:15–17:25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Was ist KI wirklich? Mythen vs. Realität – Interaktives Quiz (5 Aussagen, Teilnehmer stimmen ab)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Quiz/Mentimeter, Plenum</w:t>
            </w:r>
          </w:p>
        </w:tc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20"/>
                <w:szCs w:val="20"/>
              </w:rPr>
              <w:t xml:space="preserve">KEIN Frontalvortrag. 5 provokante Aussagen (z. B. ‘KI ersetzt 50 % aller Jobs’). Auflösung mit Fakten. IW-Köln-Daten einbinden: 37 % nutzen KI.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17:25–17:35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Live-Demo: 3 KI-Tools für den Alltag – ChatGPT (Text), Perplexity (Recherche), Notion AI (Organisation). Zurufe aus dem Publikum als Eingabe.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Live-Screenshare, Zurufe</w:t>
            </w:r>
          </w:p>
        </w:tc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20"/>
                <w:szCs w:val="20"/>
              </w:rPr>
              <w:t xml:space="preserve">Teilnehmer rufen echte Aufgaben zu → Live gelöst. Zeigt Relevanz. Backup: Vorbereitete Prompts falls keine Zurufe kommen.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17:35–17:40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Quick-Win: Jeder Teilnehmer formuliert auf Papier/Handy seinen ersten Business-Prompt.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Einzelarbeit (2 Min), Austausch zu zweit (3 Min)</w:t>
            </w:r>
          </w:p>
        </w:tc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20"/>
                <w:szCs w:val="20"/>
              </w:rPr>
              <w:t xml:space="preserve">Prompt-Vorlage auf Folie zeigen: ‘Erstelle mir ein [Dokument] für [Zielgruppe] mit [Anforderungen]’. Guided vs. Explorative Path.</w:t>
            </w:r>
          </w:p>
        </w:tc>
      </w:tr>
    </w:tbl>
    <w:p>
      <w:pPr>
        <w:spacing w:after="0" w:before="0"/>
      </w:pPr>
      <w:r>
        <w:rPr>
          <w:sz w:val="10"/>
          <w:szCs w:val="10"/>
        </w:rPr>
        <w:t xml:space="preserve"/>
      </w:r>
    </w:p>
    <w:tbl>
      <w:tblPr>
        <w:tblW w:type="dxa" w:w="907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0"/>
      </w:tblGrid>
      <w:tr>
        <w:tc>
          <w:tcPr>
            <w:tcW w:type="dxa" w:w="9070"/>
            <w:tcBorders>
              <w:top w:val="single" w:color="01696F" w:sz="1"/>
              <w:left w:val="single" w:color="01696F" w:sz="6"/>
              <w:bottom w:val="single" w:color="01696F" w:sz="1"/>
              <w:right w:val="single" w:color="01696F" w:sz="1"/>
            </w:tcBorders>
            <w:shd w:fill="F0F8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01696F"/>
                <w:sz w:val="20"/>
                <w:szCs w:val="20"/>
              </w:rPr>
              <w:t xml:space="preserve">Moderationsnotiz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20"/>
                <w:szCs w:val="20"/>
              </w:rPr>
              <w:t xml:space="preserve">Quiz-Vorbereitung: 5 Aussagen vorbereiten, Mentimeter oder Handzeichen als Abstimmungsmethode.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20"/>
                <w:szCs w:val="20"/>
              </w:rPr>
              <w:t xml:space="preserve">Live-Demo: Drei Tabs vorab geöffnet. Maximal 3 Minuten pro Tool. Timer sichtbar.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20"/>
                <w:szCs w:val="20"/>
              </w:rPr>
              <w:t xml:space="preserve">Quick-Win ist zentral: Jeder Teilnehmer soll mit einem Aha-Erlebnis aus dem Block gehen.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20"/>
                <w:szCs w:val="20"/>
              </w:rPr>
              <w:t xml:space="preserve">Differenzierung: Guided Path (Vorlage) vs. Explorative Path (freie Aufgabe) klar kommunizieren.</w:t>
            </w:r>
          </w:p>
        </w:tc>
      </w:tr>
    </w:tbl>
    <w:p>
      <w:r>
        <w:br w:type="page"/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6"/>
          <w:szCs w:val="26"/>
        </w:rPr>
        <w:t xml:space="preserve">Block 3: KI rechtssicher einsetzen – AI Act für KMU (25 Min)</w:t>
      </w:r>
    </w:p>
    <w:tbl>
      <w:tblPr>
        <w:tblW w:type="dxa" w:w="907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600"/>
        <w:gridCol w:w="2400"/>
        <w:gridCol w:w="2670"/>
      </w:tblGrid>
      <w:tr>
        <w:trPr>
          <w:tblHeader/>
        </w:trP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Zeit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Inhalt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Methode</w:t>
            </w:r>
          </w:p>
        </w:tc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Moderationsnotiz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17:40–17:50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AI Act Überblick: Was gilt seit Feb 2025 (Art. 4 KI-Kompetenz, verbotene Praktiken)? Was kommt Aug 2026? Timeline visuell darstellen.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Kurzvortrag mit Timeline-Folie</w:t>
            </w:r>
          </w:p>
        </w:tc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20"/>
                <w:szCs w:val="20"/>
              </w:rPr>
              <w:t xml:space="preserve">Komplexes Thema vereinfachen. Fokus: ‘Was betrifft MICH als Selbständigen?’ Nur praxisrelevante Pflichten.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17:50–18:00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Fallbeispiel: ‘Ist meine KI-Nutzung legal?’ – 3 Branchen-Szenarien: Handwerker, Händler, Steuerberater.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Szenario-Diskussion, Plenum</w:t>
            </w:r>
          </w:p>
        </w:tc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20"/>
                <w:szCs w:val="20"/>
              </w:rPr>
              <w:t xml:space="preserve">Teilnehmer bewerten Szenarien selbst: Legal oder nicht? Auflösung durch Referenten. Risikoklassen erklären.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18:00–18:05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3-Punkte-Checkliste: (1) KI-Policy erstellen, (2) Mitarbeiter schulen (Art. 4), (3) Use-Case-Register anlegen.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Key Takeaway-Folie, Handout</w:t>
            </w:r>
          </w:p>
        </w:tc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20"/>
                <w:szCs w:val="20"/>
              </w:rPr>
              <w:t xml:space="preserve">Checkliste als Handout verteilen. Konkreter Handlungsauftrag: Diese 3 Schritte können Sie morgen starten.</w:t>
            </w:r>
          </w:p>
        </w:tc>
      </w:tr>
    </w:tbl>
    <w:p>
      <w:pPr>
        <w:spacing w:after="0" w:before="0"/>
      </w:pPr>
      <w:r>
        <w:rPr>
          <w:sz w:val="10"/>
          <w:szCs w:val="10"/>
        </w:rPr>
        <w:t xml:space="preserve"/>
      </w:r>
    </w:p>
    <w:tbl>
      <w:tblPr>
        <w:tblW w:type="dxa" w:w="907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0"/>
      </w:tblGrid>
      <w:tr>
        <w:tc>
          <w:tcPr>
            <w:tcW w:type="dxa" w:w="9070"/>
            <w:tcBorders>
              <w:top w:val="single" w:color="01696F" w:sz="1"/>
              <w:left w:val="single" w:color="01696F" w:sz="6"/>
              <w:bottom w:val="single" w:color="01696F" w:sz="1"/>
              <w:right w:val="single" w:color="01696F" w:sz="1"/>
            </w:tcBorders>
            <w:shd w:fill="F0F8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01696F"/>
                <w:sz w:val="20"/>
                <w:szCs w:val="20"/>
              </w:rPr>
              <w:t xml:space="preserve">Moderationsnotiz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20"/>
                <w:szCs w:val="20"/>
              </w:rPr>
              <w:t xml:space="preserve">Storytelling: ‘Stellen Sie sich vor, ein Kunde fragt: Wurde das von einer KI erstellt?’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20"/>
                <w:szCs w:val="20"/>
              </w:rPr>
              <w:t xml:space="preserve">Konkrete Beispiele statt abstrakte Paragraphen. Nie ‘Artikel 6 Absatz 2’ sagen, sondern ‘Die Regel für Chatbots’.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20"/>
                <w:szCs w:val="20"/>
              </w:rPr>
              <w:t xml:space="preserve">Interaktion: Daumen-hoch/runter-Abstimmung bei Szenarien. Energielevel vor Pause hochhalten.</w:t>
            </w:r>
          </w:p>
        </w:tc>
      </w:tr>
    </w:tbl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6"/>
          <w:szCs w:val="26"/>
        </w:rPr>
        <w:t xml:space="preserve">PAUSE (5 Min) – 18:05–18:10</w:t>
      </w:r>
    </w:p>
    <w:p>
      <w:pPr>
        <w:spacing w:after="120" w:before="60"/>
      </w:pPr>
      <w:r>
        <w:rPr>
          <w:rFonts w:ascii="Calibri" w:cs="Calibri" w:eastAsia="Calibri" w:hAnsi="Calibri"/>
          <w:i/>
          <w:iCs/>
          <w:color w:val="666666"/>
          <w:sz w:val="22"/>
          <w:szCs w:val="22"/>
        </w:rPr>
        <w:t xml:space="preserve">Informeller Austausch, Getränke, Fragen an Referenten. Folie PAUSE einblenden mit Timer.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6"/>
          <w:szCs w:val="26"/>
        </w:rPr>
        <w:t xml:space="preserve">Block 4: KI in der Praxis – Workflows für Ihren Betrieb (20 Min)</w:t>
      </w:r>
    </w:p>
    <w:tbl>
      <w:tblPr>
        <w:tblW w:type="dxa" w:w="907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600"/>
        <w:gridCol w:w="2400"/>
        <w:gridCol w:w="2670"/>
      </w:tblGrid>
      <w:tr>
        <w:trPr>
          <w:tblHeader/>
        </w:trP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Zeit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Inhalt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Methode</w:t>
            </w:r>
          </w:p>
        </w:tc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Moderationsnotiz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18:10–18:20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3 Branchen-Workflows live: (1) Handwerker – Angebotserstellung mit KI, (2) Händler – Produktbeschreibungen automatisieren, (3) Dienstleister – Kundenanfragen automatisch beantworten.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Live-Demo, Screenshare</w:t>
            </w:r>
          </w:p>
        </w:tc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20"/>
                <w:szCs w:val="20"/>
              </w:rPr>
              <w:t xml:space="preserve">Je Workflow max. 3 Min. Vorbereitete Prompts und Ergebnisse als Backup. Teilnehmer-Feedback: Relevant? Daumen hoch/runter.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18:20–18:30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Hands-On-Übung: Teilnehmer probieren einen Workflow selbst aus. Guided Path: Schritt-für-Schritt. Explorative Path: Eigenes Szenario.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Einzelarbeit/Partnerarbeit</w:t>
            </w:r>
          </w:p>
        </w:tc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20"/>
                <w:szCs w:val="20"/>
              </w:rPr>
              <w:t xml:space="preserve">Übungsblatt mit QR-Code zu ChatGPT/Perplexity. Referent geht durch den Raum. Peer-Feedback nach 7 Min.</w:t>
            </w:r>
          </w:p>
        </w:tc>
      </w:tr>
    </w:tbl>
    <w:p>
      <w:pPr>
        <w:spacing w:after="0" w:before="0"/>
      </w:pPr>
      <w:r>
        <w:rPr>
          <w:sz w:val="10"/>
          <w:szCs w:val="10"/>
        </w:rPr>
        <w:t xml:space="preserve"/>
      </w:r>
    </w:p>
    <w:tbl>
      <w:tblPr>
        <w:tblW w:type="dxa" w:w="907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0"/>
      </w:tblGrid>
      <w:tr>
        <w:tc>
          <w:tcPr>
            <w:tcW w:type="dxa" w:w="9070"/>
            <w:tcBorders>
              <w:top w:val="single" w:color="01696F" w:sz="1"/>
              <w:left w:val="single" w:color="01696F" w:sz="6"/>
              <w:bottom w:val="single" w:color="01696F" w:sz="1"/>
              <w:right w:val="single" w:color="01696F" w:sz="1"/>
            </w:tcBorders>
            <w:shd w:fill="F0F8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01696F"/>
                <w:sz w:val="20"/>
                <w:szCs w:val="20"/>
              </w:rPr>
              <w:t xml:space="preserve">Moderationsnotiz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20"/>
                <w:szCs w:val="20"/>
              </w:rPr>
              <w:t xml:space="preserve">Aktivierung: Nach der Pause Energielevel bewusst anheben – stehende Übung oder kurze Handzeichen-Aktivierung.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20"/>
                <w:szCs w:val="20"/>
              </w:rPr>
              <w:t xml:space="preserve">Differenzierung ernst nehmen: Guided Path mit exakter Vorlage, Explorative Path mit offener Aufgabe.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20"/>
                <w:szCs w:val="20"/>
              </w:rPr>
              <w:t xml:space="preserve">Peer-Feedback statt Referenten-Feedback: Skaliert besser, fördert Vernetzung.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20"/>
                <w:szCs w:val="20"/>
              </w:rPr>
              <w:t xml:space="preserve">Timer sichtbar für Hands-On (7 Min Übung + 3 Min Austausch).</w:t>
            </w:r>
          </w:p>
        </w:tc>
      </w:tr>
    </w:tbl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6"/>
          <w:szCs w:val="26"/>
        </w:rPr>
        <w:t xml:space="preserve">Block 5: Transfer &amp; Abschluss (10 Min)</w:t>
      </w:r>
    </w:p>
    <w:tbl>
      <w:tblPr>
        <w:tblW w:type="dxa" w:w="907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600"/>
        <w:gridCol w:w="2400"/>
        <w:gridCol w:w="2670"/>
      </w:tblGrid>
      <w:tr>
        <w:trPr>
          <w:tblHeader/>
        </w:trP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Zeit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Inhalt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Methode</w:t>
            </w:r>
          </w:p>
        </w:tc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Moderationsnotiz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18:30–18:35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Mein KI-Fahrplan: Jeder Teilnehmer definiert 1 konkreten nächsten Schritt auf Karte/Handout.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Einzelarbeit, Transfer-Template</w:t>
            </w:r>
          </w:p>
        </w:tc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20"/>
                <w:szCs w:val="20"/>
              </w:rPr>
              <w:t xml:space="preserve">Vorlage: In der nächsten Woche werde ich ___ mit KI umsetzen. Konkretion erzwingen: Was, wann, welches Tool?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18:35–18:40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Peer-Showcase: 2–3 Teilnehmer teilen ihren Plan im Plenum.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Freiwillige, Plenum</w:t>
            </w:r>
          </w:p>
        </w:tc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20"/>
                <w:szCs w:val="20"/>
              </w:rPr>
              <w:t xml:space="preserve">Social Proof: Wenn andere es vorhaben, traue ich mich auch. Applaus/Anerkennung für Mut.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18:40–18:45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Zusammenfassung Triple Focus: (1) KI ist ein Werkzeug, kein Hexenwerk. (2) Der AI Act ist machbar – 3 Schritte reichen. (3) Starten Sie heute, nicht morgen.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Kurzvortrag, Zusammenfassungs-Folie</w:t>
            </w:r>
          </w:p>
        </w:tc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20"/>
                <w:szCs w:val="20"/>
              </w:rPr>
              <w:t xml:space="preserve">Emotionaler Abschluss: Sie haben heute mehr über KI gelernt als 60 % aller KMU in Deutschland (IW-Köln-Referenz).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18:45–18:50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Q&amp;A + Verweis auf BDS KI-Akademie (Webinar-Reihe, nächste Termine).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Offene Fragerunde, CTA-Folie</w:t>
            </w:r>
          </w:p>
        </w:tc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20"/>
                <w:szCs w:val="20"/>
              </w:rPr>
              <w:t xml:space="preserve">Max. 3 Fragen. Komplexe Fragen auf Nachgespräch verlagern. QR-Code zur KI-Akademie einblenden.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18:50–19:00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Networking-Zeit: Informeller Austausch, Visitenkarten, Einzelgespräche.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Offenes Format</w:t>
            </w:r>
          </w:p>
        </w:tc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20"/>
                <w:szCs w:val="20"/>
              </w:rPr>
              <w:t xml:space="preserve">Referent bleibt zugänglich. Lockere Atmosphäre. Handouts zum Mitnehmen auslegen.</w:t>
            </w:r>
          </w:p>
        </w:tc>
      </w:tr>
    </w:tbl>
    <w:p>
      <w:pPr>
        <w:spacing w:after="0" w:before="0"/>
      </w:pPr>
      <w:r>
        <w:rPr>
          <w:sz w:val="10"/>
          <w:szCs w:val="10"/>
        </w:rPr>
        <w:t xml:space="preserve"/>
      </w:r>
    </w:p>
    <w:tbl>
      <w:tblPr>
        <w:tblW w:type="dxa" w:w="907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0"/>
      </w:tblGrid>
      <w:tr>
        <w:tc>
          <w:tcPr>
            <w:tcW w:type="dxa" w:w="9070"/>
            <w:tcBorders>
              <w:top w:val="single" w:color="01696F" w:sz="1"/>
              <w:left w:val="single" w:color="01696F" w:sz="6"/>
              <w:bottom w:val="single" w:color="01696F" w:sz="1"/>
              <w:right w:val="single" w:color="01696F" w:sz="1"/>
            </w:tcBorders>
            <w:shd w:fill="F0F8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01696F"/>
                <w:sz w:val="20"/>
                <w:szCs w:val="20"/>
              </w:rPr>
              <w:t xml:space="preserve">Moderationsnotiz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20"/>
                <w:szCs w:val="20"/>
              </w:rPr>
              <w:t xml:space="preserve">Emotionaler Abschluss: Rückbezug zum Hook vom Anfang.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20"/>
                <w:szCs w:val="20"/>
              </w:rPr>
              <w:t xml:space="preserve">Transfer-Commitment: Teilnehmer unterschreiben symbolisch ihren KI-Fahrplan → erhöht Umsetzungswahrscheinlichkeit.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20"/>
                <w:szCs w:val="20"/>
              </w:rPr>
              <w:t xml:space="preserve">CTA klar: BDS KI-Akademie als logischer nächster Schritt positionieren.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20"/>
                <w:szCs w:val="20"/>
              </w:rPr>
              <w:t xml:space="preserve">5%-Regel (SALA): Nur 5 % bleiben im Gedächtnis → Die 3 Kernbotschaften müssen sitzen.</w:t>
            </w:r>
          </w:p>
        </w:tc>
      </w:tr>
    </w:tbl>
    <w:p>
      <w:pPr>
        <w:sectPr>
          <w:headerReference w:type="default" r:id="rId9"/>
          <w:footerReference w:type="default" r:id="rId10"/>
          <w:pgSz w:w="11906" w:h="16838" w:orient="portrait"/>
          <w:pgMar w:top="1418" w:right="1418" w:bottom="1418" w:left="1418" w:header="708" w:footer="708" w:gutter="0"/>
          <w:pgNumType/>
          <w:docGrid w:linePitch="360"/>
        </w:sectPr>
      </w:pPr>
    </w:p>
    <w:p>
      <w:pPr>
        <w:pStyle w:val="Heading1"/>
        <w:spacing w:after="180" w:before="360"/>
      </w:pPr>
      <w:r>
        <w:rPr>
          <w:rFonts w:ascii="Calibri" w:cs="Calibri" w:eastAsia="Calibri" w:hAnsi="Calibri"/>
          <w:b/>
          <w:bCs/>
          <w:color w:val="01696F"/>
          <w:sz w:val="32"/>
          <w:szCs w:val="32"/>
        </w:rPr>
        <w:t xml:space="preserve">Folienkonzept (Slide-by-Slide)</w:t>
      </w:r>
    </w:p>
    <w:p>
      <w:pPr>
        <w:spacing w:after="120" w:before="60"/>
      </w:pPr>
      <w:r>
        <w:rPr>
          <w:rFonts w:ascii="Calibri" w:cs="Calibri" w:eastAsia="Calibri" w:hAnsi="Calibri"/>
          <w:i/>
          <w:iCs/>
          <w:color w:val="666666"/>
          <w:sz w:val="22"/>
          <w:szCs w:val="22"/>
        </w:rPr>
        <w:t xml:space="preserve">22 Folien – optimiert für 2-Stunden-Workshop mit SALA-Methodik. Durchschnittlich 5–6 Minuten pro Folie (inkl. Interaktion).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6"/>
          <w:szCs w:val="26"/>
        </w:rPr>
        <w:t xml:space="preserve">Folien 1–11: Einstieg, Orientierung &amp; AI Act</w:t>
      </w:r>
    </w:p>
    <w:tbl>
      <w:tblPr>
        <w:tblW w:type="dxa" w:w="907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600"/>
        <w:gridCol w:w="2000"/>
        <w:gridCol w:w="1600"/>
        <w:gridCol w:w="1600"/>
        <w:gridCol w:w="1670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Folientitel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Inhalt / Key Message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Visuelles Konzept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Sprechernotiz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Interaktion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Titelfolie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Workshop-Titel, Referent, BDS-Logo, Datum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Dunkler Hintergrund, große Typo, Teal-Akzent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A1A1A"/>
                <w:sz w:val="18"/>
                <w:szCs w:val="18"/>
              </w:rPr>
              <w:t xml:space="preserve">Folie steht beim Einlass. Keine Ansage nötig.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Haben Sie heute schon mit KI gesprochen?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Provokante Einstiegsfrage. Überraschungsmoment.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Vollbild-Text, weiß auf dunkel, Fragezeichen groß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A1A1A"/>
                <w:sz w:val="18"/>
                <w:szCs w:val="18"/>
              </w:rPr>
              <w:t xml:space="preserve">Ob Siri, Alexa oder Google Maps – KI ist längst Alltag.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Handzeichen: Wer hat heute ein Smartphone benutzt?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3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Agenda / 3 Versprechen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(1) KI verstehen, (2) Rechtssicher handeln, (3) Sofort anwenden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3-Spalten-Layout, Icons, Teal-Nummern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A1A1A"/>
                <w:sz w:val="18"/>
                <w:szCs w:val="18"/>
              </w:rPr>
              <w:t xml:space="preserve">Das nehmen Sie heute Abend mit nach Hause.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KI-Faktencheck: Quiz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5 Aussagen zu KI – wahr oder falsch?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Quiz-Layout, Aussage zentriert, A/B-Buttons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A1A1A"/>
                <w:sz w:val="18"/>
                <w:szCs w:val="18"/>
              </w:rPr>
              <w:t xml:space="preserve">Pro Aussage 30 Sek. Abstimmung, dann Auflösung.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Mentimeter oder Handzeichen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5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Was ist KI?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Einfache Erklärung: Mustererkennung + Vorhersage. Keine Technik.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Zentrale Grafik: Input → KI → Output, minimal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A1A1A"/>
                <w:sz w:val="18"/>
                <w:szCs w:val="18"/>
              </w:rPr>
              <w:t xml:space="preserve">KI ist kein Zauberstab, sondern ein sehr schneller Praktikant.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6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37 % nutzen KI – Sind Sie dabei?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IW-Köln-Daten: 37 % nutzen KI, 60 % der Kleinen nicht.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Stat-Callout: große Zahl 37 %, Balkendiagramm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A1A1A"/>
                <w:sz w:val="18"/>
                <w:szCs w:val="18"/>
              </w:rPr>
              <w:t xml:space="preserve">Die Frage ist nicht ob, sondern wann Sie starten.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Handzeichen: Wer nutzt KI bereits?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Live-Demo: 3 Tools, 3 Minuten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ChatGPT, Perplexity, Notion AI – jeweils 60 Sek.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Split-Screen: Tool-Logo + Screenshot-Bereich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A1A1A"/>
                <w:sz w:val="18"/>
                <w:szCs w:val="18"/>
              </w:rPr>
              <w:t xml:space="preserve">Jetzt wird es praktisch. Rufen Sie mir eine Aufgabe zu!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Zurufe aus dem Publikum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Quick-Win: Ihr erster Business-Prompt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Prompt-Vorlage + Übungsanleitung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2-Spalten: Vorlage links, Beispiel rechts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A1A1A"/>
                <w:sz w:val="18"/>
                <w:szCs w:val="18"/>
              </w:rPr>
              <w:t xml:space="preserve">Probieren Sie es jetzt – 2 Minuten, los!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Einzelarbeit + Partneraustausch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9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Aber darf ich das?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Überleitung zum AI Act. Spannung aufbauen.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Vollbild-Frage, dunkler Hintergrund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A1A1A"/>
                <w:sz w:val="18"/>
                <w:szCs w:val="18"/>
              </w:rPr>
              <w:t xml:space="preserve">Die gute Nachricht: Ja, Sie dürfen. Aber mit Regeln.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10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AI Act Timeline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Feb 2025 → Aug 2025 → Aug 2026 → Aug 2027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Horizontale Timeline, Meilensteine farbig markiert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A1A1A"/>
                <w:sz w:val="18"/>
                <w:szCs w:val="18"/>
              </w:rPr>
              <w:t xml:space="preserve">Wir sind hier (Pfeil auf aktuelles Datum).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11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Risikoklassen erklärt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4 Stufen: Verboten, Hoch, Begrenzt, Minimal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4-Stufen-Grid, Ampelfarben (rot → grün)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A1A1A"/>
                <w:sz w:val="18"/>
                <w:szCs w:val="18"/>
              </w:rPr>
              <w:t xml:space="preserve">Die meisten KMU-Anwendungen sind minimal oder begrenzt.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—</w:t>
            </w:r>
          </w:p>
        </w:tc>
      </w:tr>
    </w:tbl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6"/>
          <w:szCs w:val="26"/>
        </w:rPr>
        <w:t xml:space="preserve">Folien 12–22: Praxis, Transfer &amp; Abschluss</w:t>
      </w:r>
    </w:p>
    <w:tbl>
      <w:tblPr>
        <w:tblW w:type="dxa" w:w="907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600"/>
        <w:gridCol w:w="2000"/>
        <w:gridCol w:w="1600"/>
        <w:gridCol w:w="1600"/>
        <w:gridCol w:w="1670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Folientitel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Inhalt / Key Message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Visuelles Konzept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Sprechernotiz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Interaktion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12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Fallbeispiel: Ist das legal?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3 Szenarien: Handwerk, Handel, Freiberufler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3-Spalten-Grid, je Szenario mit Bewertung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A1A1A"/>
                <w:sz w:val="18"/>
                <w:szCs w:val="18"/>
              </w:rPr>
              <w:t xml:space="preserve">Was meinen Sie? Legal oder nicht?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Daumen-hoch/runter-Abstimmung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13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3-Punkte-Checkliste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(1) KI-Policy, (2) Mitarbeiter schulen, (3) Use-Case-Register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Checklisten-Layout, Häkchen-Icons, Teal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A1A1A"/>
                <w:sz w:val="18"/>
                <w:szCs w:val="18"/>
              </w:rPr>
              <w:t xml:space="preserve">Diese 3 Schritte können Sie morgen starten.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14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PAUSE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5 Minuten Pause. Timer einblenden.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Minimal: PAUSE groß, Countdown-Timer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A1A1A"/>
                <w:sz w:val="18"/>
                <w:szCs w:val="18"/>
              </w:rPr>
              <w:t xml:space="preserve">—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15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Workflow 1: Handwerk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Angebotserstellung mit KI: Prompt → Ergebnis → Feinschliff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Prozess-Diagramm: 3 Schritte mit Screenshots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A1A1A"/>
                <w:sz w:val="18"/>
                <w:szCs w:val="18"/>
              </w:rPr>
              <w:t xml:space="preserve">Von 45 Minuten auf 10 Minuten pro Angebot.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16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Workflow 2: Handel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Produktbeschreibungen automatisieren: Bulk-Texte mit KI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Vorher/Nachher-Vergleich, 2-Spalten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A1A1A"/>
                <w:sz w:val="18"/>
                <w:szCs w:val="18"/>
              </w:rPr>
              <w:t xml:space="preserve">20 Produkttexte in 15 Minuten statt 3 Stunden.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17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Workflow 3: Dienstleister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Kundenanfragen mit KI-Vorlagen beantworten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E-Mail-Template-Darstellung, Prozessflow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A1A1A"/>
                <w:sz w:val="18"/>
                <w:szCs w:val="18"/>
              </w:rPr>
              <w:t xml:space="preserve">Der erste Entwurf steht in 30 Sekunden.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18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Hands-On: Jetzt sind Sie dran!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Übungsanleitung: Guided Path / Explorative Path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2-Spalten: Einfach (links) / Fortgeschritten (rechts)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A1A1A"/>
                <w:sz w:val="18"/>
                <w:szCs w:val="18"/>
              </w:rPr>
              <w:t xml:space="preserve">Wählen Sie Ihren Weg. 7 Minuten Zeit.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Einzelarbeit + Peer-Feedback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19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Mein KI-Fahrplan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Transfer-Template: Nächste Woche werde ich...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Ausfüllbare Vorlage, Karten-Layout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A1A1A"/>
                <w:sz w:val="18"/>
                <w:szCs w:val="18"/>
              </w:rPr>
              <w:t xml:space="preserve">Schreiben Sie es auf – das verdreifacht die Umsetzung.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Einzelarbeit, dann Showcase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Triple Focus: 3 Kernbotschaften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(1) KI = Werkzeug. (2) AI Act = machbar. (3) Heute starten.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3 große Statements, Teal-Akzent, dunkel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A1A1A"/>
                <w:sz w:val="18"/>
                <w:szCs w:val="18"/>
              </w:rPr>
              <w:t xml:space="preserve">Das ist Ihr Dreisatz für den KI-Erfolg.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21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Nächste Schritte: BDS KI-Akademie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Webinar-Reihe, Termine, QR-Code zur Anmeldung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CTA-Layout: QR-Code groß, Termine darunter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A1A1A"/>
                <w:sz w:val="18"/>
                <w:szCs w:val="18"/>
              </w:rPr>
              <w:t xml:space="preserve">Bleiben Sie dran – die KI-Akademie begleitet Sie.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QR-Code scannen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22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Kontakt &amp; Danke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Arno Schimmelpfennig, Kontaktdaten, BDS-Logo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Dunkler Hintergrund, Kontakt zentriert, Logo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A1A1A"/>
                <w:sz w:val="18"/>
                <w:szCs w:val="18"/>
              </w:rPr>
              <w:t xml:space="preserve">Vielen Dank! Ich freue mich auf Ihre Fragen.</w:t>
            </w:r>
          </w:p>
        </w:tc>
        <w:tc>
          <w:tcPr>
            <w:tcW w:type="dxa" w:w="1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—</w:t>
            </w:r>
          </w:p>
        </w:tc>
      </w:tr>
    </w:tbl>
    <w:p>
      <w:pPr>
        <w:sectPr>
          <w:headerReference w:type="default" r:id="rId11"/>
          <w:footerReference w:type="default" r:id="rId12"/>
          <w:pgSz w:w="11906" w:h="16838" w:orient="portrait"/>
          <w:pgMar w:top="1418" w:right="1418" w:bottom="1418" w:left="1418" w:header="708" w:footer="708" w:gutter="0"/>
          <w:pgNumType/>
          <w:docGrid w:linePitch="360"/>
        </w:sectPr>
      </w:pPr>
    </w:p>
    <w:p>
      <w:pPr>
        <w:pStyle w:val="Heading1"/>
        <w:spacing w:after="180" w:before="360"/>
      </w:pPr>
      <w:r>
        <w:rPr>
          <w:rFonts w:ascii="Calibri" w:cs="Calibri" w:eastAsia="Calibri" w:hAnsi="Calibri"/>
          <w:b/>
          <w:bCs/>
          <w:color w:val="01696F"/>
          <w:sz w:val="32"/>
          <w:szCs w:val="32"/>
        </w:rPr>
        <w:t xml:space="preserve">Materialliste &amp; Vorbereitung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6"/>
          <w:szCs w:val="26"/>
        </w:rPr>
        <w:t xml:space="preserve">Technische Anforderungen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Beamer/Projektor (HDMI-Anschluss) mit ausreichender Helligkeit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Stabiles WLAN für Referent + Teilnehmer (min. 50 Mbit/s empfohlen)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Lautsprecher für eventuelle Audio-/Video-Einspielungen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Laptop des Referenten mit vorinstallierten Tools (ChatGPT, Perplexity, Notion AI)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Backup: Mobile Hotspot falls WLAN ausfällt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Timer-App oder Countdown-Projektion für Übungen und Pause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Flipchart oder Whiteboard für spontane Visualisierungen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Presenter/Clicker für Folienwechsel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6"/>
          <w:szCs w:val="26"/>
        </w:rPr>
        <w:t xml:space="preserve">Raumaufstellung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U-Form oder Stuhlkreis mit Tischen bevorzugt (fördert Interaktion)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Alternativ: Parlamentarische Bestuhlung mit Platz für Partnerarbeit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Steckdosen für Teilnehmer-Laptops/-Smartphones zugänglich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6"/>
          <w:szCs w:val="26"/>
        </w:rPr>
        <w:t xml:space="preserve">Handouts &amp; Checklisten (Ausdruck)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Übungsblatt „Mein erster Business-Prompt“ (1 Seite, DIN A4)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3-Punkte-Checkliste: AI Act Compliance für KMU (1 Seite, DIN A4)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Transfer-Template „Mein KI-Fahrplan“ (Postkarten-Format oder DIN A5)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Teilnehmer-Feedback-Bogen (optional, alternativ digital per QR-Code)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6"/>
          <w:szCs w:val="26"/>
        </w:rPr>
        <w:t xml:space="preserve">Digitale Materialien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QR-Code-Handout: Links zu ChatGPT, Perplexity, Notion AI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QR-Code zur BDS KI-Akademie (Webinar-Anmeldung)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Digitale Kopie der Präsentation (PDF) zum Nachversand per E-Mail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Mentimeter-Umfrage vorbereitet (falls interaktives Voting gewünscht)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6"/>
          <w:szCs w:val="26"/>
        </w:rPr>
        <w:t xml:space="preserve">Follow-Up-Material (Nachversand 24–48 Stunden nach Workshop)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Präsentation als PDF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Zusammenfassung der 3 Kernbotschaften (1-Seiter)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Erweiterte Prompt-Bibliothek für KMU (5–10 Best-Practice-Prompts)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Link zur BDS KI-Akademie Webinar-Reihe mit nächsten Terminen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AI Act Compliance-Leitfaden für KMU (Kurzversion)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 w:val="false"/>
          <w:bCs w:val="false"/>
          <w:color w:val="1A1A1A"/>
          <w:sz w:val="22"/>
          <w:szCs w:val="22"/>
        </w:rPr>
        <w:t xml:space="preserve">Feedback-Link (Online-Umfrage, 3 Fragen)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6"/>
          <w:szCs w:val="26"/>
        </w:rPr>
        <w:t xml:space="preserve">Vorbereitung Referent (Checkliste)</w:t>
      </w:r>
    </w:p>
    <w:tbl>
      <w:tblPr>
        <w:tblW w:type="dxa" w:w="907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470"/>
        <w:gridCol w:w="30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5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Aufgabe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1696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Deadline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☐</w:t>
            </w:r>
          </w:p>
        </w:tc>
        <w:tc>
          <w:tcPr>
            <w:tcW w:type="dxa" w:w="5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Präsentation finalisieren und testen (Beamer-Check)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66666"/>
                <w:sz w:val="20"/>
                <w:szCs w:val="20"/>
              </w:rPr>
              <w:t xml:space="preserve">3 Tage vorher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☐</w:t>
            </w:r>
          </w:p>
        </w:tc>
        <w:tc>
          <w:tcPr>
            <w:tcW w:type="dxa" w:w="5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Mentimeter-Umfrage erstellen und testen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66666"/>
                <w:sz w:val="20"/>
                <w:szCs w:val="20"/>
              </w:rPr>
              <w:t xml:space="preserve">3 Tage vorher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☐</w:t>
            </w:r>
          </w:p>
        </w:tc>
        <w:tc>
          <w:tcPr>
            <w:tcW w:type="dxa" w:w="5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Live-Demo-Prompts vorbereiten und durchspielen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66666"/>
                <w:sz w:val="20"/>
                <w:szCs w:val="20"/>
              </w:rPr>
              <w:t xml:space="preserve">2 Tage vorher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☐</w:t>
            </w:r>
          </w:p>
        </w:tc>
        <w:tc>
          <w:tcPr>
            <w:tcW w:type="dxa" w:w="5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Handouts drucken (Teilnehmerzahl + 10 % Reserve)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66666"/>
                <w:sz w:val="20"/>
                <w:szCs w:val="20"/>
              </w:rPr>
              <w:t xml:space="preserve">1 Tag vorher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☐</w:t>
            </w:r>
          </w:p>
        </w:tc>
        <w:tc>
          <w:tcPr>
            <w:tcW w:type="dxa" w:w="5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QR-Codes generieren und testen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66666"/>
                <w:sz w:val="20"/>
                <w:szCs w:val="20"/>
              </w:rPr>
              <w:t xml:space="preserve">2 Tage vorher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☐</w:t>
            </w:r>
          </w:p>
        </w:tc>
        <w:tc>
          <w:tcPr>
            <w:tcW w:type="dxa" w:w="5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WLAN-Zugang klären und Geschwindigkeit prüfen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66666"/>
                <w:sz w:val="20"/>
                <w:szCs w:val="20"/>
              </w:rPr>
              <w:t xml:space="preserve">Am Veranstaltungstag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☐</w:t>
            </w:r>
          </w:p>
        </w:tc>
        <w:tc>
          <w:tcPr>
            <w:tcW w:type="dxa" w:w="5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Technik-Check vor Ort (Beamer, Ton, WLAN)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66666"/>
                <w:sz w:val="20"/>
                <w:szCs w:val="20"/>
              </w:rPr>
              <w:t xml:space="preserve">60 Min vorher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☐</w:t>
            </w:r>
          </w:p>
        </w:tc>
        <w:tc>
          <w:tcPr>
            <w:tcW w:type="dxa" w:w="5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Raumaufstellung kontrollieren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66666"/>
                <w:sz w:val="20"/>
                <w:szCs w:val="20"/>
              </w:rPr>
              <w:t xml:space="preserve">60 Min vorher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☐</w:t>
            </w:r>
          </w:p>
        </w:tc>
        <w:tc>
          <w:tcPr>
            <w:tcW w:type="dxa" w:w="5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Backup-Hotspot und Offline-Folien bereithalten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66666"/>
                <w:sz w:val="20"/>
                <w:szCs w:val="20"/>
              </w:rPr>
              <w:t xml:space="preserve">Am Veranstaltungstag</w:t>
            </w:r>
          </w:p>
        </w:tc>
      </w:tr>
    </w:tbl>
    <w:p>
      <w:pPr>
        <w:sectPr>
          <w:headerReference w:type="default" r:id="rId13"/>
          <w:footerReference w:type="default" r:id="rId14"/>
          <w:pgSz w:w="11906" w:h="16838" w:orient="portrait"/>
          <w:pgMar w:top="1418" w:right="1418" w:bottom="1418" w:left="1418" w:header="708" w:footer="708" w:gutter="0"/>
          <w:pgNumType/>
          <w:docGrid w:linePitch="360"/>
        </w:sectPr>
      </w:pPr>
    </w:p>
    <w:p>
      <w:pPr>
        <w:pStyle w:val="Heading1"/>
        <w:spacing w:after="180" w:before="360"/>
      </w:pPr>
      <w:r>
        <w:rPr>
          <w:rFonts w:ascii="Calibri" w:cs="Calibri" w:eastAsia="Calibri" w:hAnsi="Calibri"/>
          <w:b/>
          <w:bCs/>
          <w:color w:val="01696F"/>
          <w:sz w:val="32"/>
          <w:szCs w:val="32"/>
        </w:rPr>
        <w:t xml:space="preserve">Quellenverzeichnis</w:t>
      </w:r>
    </w:p>
    <w:p>
      <w:pPr>
        <w:spacing w:after="0" w:before="0"/>
      </w:pPr>
      <w:r>
        <w:rPr>
          <w:sz w:val="10"/>
          <w:szCs w:val="10"/>
        </w:rPr>
        <w:t xml:space="preserve"/>
      </w:r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01696F"/>
          <w:sz w:val="22"/>
          <w:szCs w:val="22"/>
        </w:rPr>
        <w:t xml:space="preserve">Organisation &amp; Zielgruppe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BDS Bayern – Über uns: </w:t>
      </w:r>
      <w:hyperlink w:history="1" r:id="rId0npcjbfeyrksclboi6ger">
        <w:r>
          <w:rPr>
            <w:rStyle w:val="Hyperlink"/>
            <w:sz w:val="18"/>
            <w:szCs w:val="18"/>
          </w:rPr>
          <w:t xml:space="preserve">https://www.bds-bayern.de/ueber-uns/</w:t>
        </w:r>
      </w:hyperlink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BDS Bayern – Wikipedia: </w:t>
      </w:r>
      <w:hyperlink w:history="1" r:id="rIdt07jjryslomawwyy2-tq_">
        <w:r>
          <w:rPr>
            <w:rStyle w:val="Hyperlink"/>
            <w:sz w:val="18"/>
            <w:szCs w:val="18"/>
          </w:rPr>
          <w:t xml:space="preserve">https://de.wikipedia.org/wiki/Bund_der_Selbst%C3%A4ndigen_%E2%80%93_Gewerbeverband_Bayern</w:t>
        </w:r>
      </w:hyperlink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BDS Branchenbuch: </w:t>
      </w:r>
      <w:hyperlink w:history="1" r:id="rIdmpmiymct3zio4puopouby">
        <w:r>
          <w:rPr>
            <w:rStyle w:val="Hyperlink"/>
            <w:sz w:val="18"/>
            <w:szCs w:val="18"/>
          </w:rPr>
          <w:t xml:space="preserve">https://www.bds-branchen.de</w:t>
        </w:r>
      </w:hyperlink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BDS im Dialog – Branchenbuch-Eintrag: </w:t>
      </w:r>
      <w:hyperlink w:history="1" r:id="rIdvht3684gpttdyipfgws3k">
        <w:r>
          <w:rPr>
            <w:rStyle w:val="Hyperlink"/>
            <w:sz w:val="18"/>
            <w:szCs w:val="18"/>
          </w:rPr>
          <w:t xml:space="preserve">https://www.bds-im-dialog.de/eintrag-im-branchenbuch-des-bds/</w:t>
        </w:r>
      </w:hyperlink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01696F"/>
          <w:sz w:val="22"/>
          <w:szCs w:val="22"/>
        </w:rPr>
        <w:t xml:space="preserve">KI-Nutzung im Mittelstand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IW Köln – KI als Wettbewerbsfaktor (IW-Report 2025): </w:t>
      </w:r>
      <w:hyperlink w:history="1" r:id="rIduh7umlu28wgswgeh3awvy">
        <w:r>
          <w:rPr>
            <w:rStyle w:val="Hyperlink"/>
            <w:sz w:val="18"/>
            <w:szCs w:val="18"/>
          </w:rPr>
          <w:t xml:space="preserve">https://www.iwkoeln.de/fileadmin/user_upload/Studien/Report/PDF/2025/IW-Report_2025-KI-als-Wettbewerbsfaktor.pdf</w:t>
        </w:r>
      </w:hyperlink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Bundesnetzagentur – Digitalisierung Mittelstand: </w:t>
      </w:r>
      <w:hyperlink w:history="1" r:id="rIdptmix8mbn1tmzzfeoy8xs">
        <w:r>
          <w:rPr>
            <w:rStyle w:val="Hyperlink"/>
            <w:sz w:val="18"/>
            <w:szCs w:val="18"/>
          </w:rPr>
          <w:t xml:space="preserve">https://www.bundesnetzagentur.de/DE/Fachthemen/Digitales/Mittelstand/Kennzahlen/artikel.html</w:t>
        </w:r>
      </w:hyperlink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IfM Bonn – Digitalisierung der KMU im EU-Vergleich (2025): </w:t>
      </w:r>
      <w:hyperlink w:history="1" r:id="rIdf2ntwp837a0oid9pl6ilr">
        <w:r>
          <w:rPr>
            <w:rStyle w:val="Hyperlink"/>
            <w:sz w:val="18"/>
            <w:szCs w:val="18"/>
          </w:rPr>
          <w:t xml:space="preserve">https://www.ifm-bonn.org/statistiken/mittelstand-im-einzelnen/digitalisierung-der-kmu-im-eu-vergleich</w:t>
        </w:r>
      </w:hyperlink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01696F"/>
          <w:sz w:val="22"/>
          <w:szCs w:val="22"/>
        </w:rPr>
        <w:t xml:space="preserve">AI Act &amp; Regulierung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IHK München – AI Act Ratgeber: </w:t>
      </w:r>
      <w:hyperlink w:history="1" r:id="rIdw2jafrgv20tixxhx86jwz">
        <w:r>
          <w:rPr>
            <w:rStyle w:val="Hyperlink"/>
            <w:sz w:val="18"/>
            <w:szCs w:val="18"/>
          </w:rPr>
          <w:t xml:space="preserve">https://www.ihk-muenchen.de/ratgeber/digitalisierung/kuenstliche-intelligenz/ai-act/</w:t>
        </w:r>
      </w:hyperlink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deutschland-startet.de – EU AI Act ab 2026: </w:t>
      </w:r>
      <w:hyperlink w:history="1" r:id="rIds9sr28yus2kz0vtby1rbc">
        <w:r>
          <w:rPr>
            <w:rStyle w:val="Hyperlink"/>
            <w:sz w:val="18"/>
            <w:szCs w:val="18"/>
          </w:rPr>
          <w:t xml:space="preserve">https://www.deutschland-startet.de/eu-ai-act-gruendung-ab-2026/</w:t>
        </w:r>
      </w:hyperlink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für-gründer.de – AI Act für Gründer: </w:t>
      </w:r>
      <w:hyperlink w:history="1" r:id="rIdla3yciyulqzuyxev31cdq">
        <w:r>
          <w:rPr>
            <w:rStyle w:val="Hyperlink"/>
            <w:sz w:val="18"/>
            <w:szCs w:val="18"/>
          </w:rPr>
          <w:t xml:space="preserve">https://www.fuer-gruender.de/blog/ai-act-was-gruender-wissen-muessen/</w:t>
        </w:r>
      </w:hyperlink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01696F"/>
          <w:sz w:val="22"/>
          <w:szCs w:val="22"/>
        </w:rPr>
        <w:t xml:space="preserve">Akademische Forschung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Hussain &amp; Rizwan (2024) – AI Adoption in SMEs: </w:t>
      </w:r>
      <w:hyperlink w:history="1" r:id="rIddcf1i0mb-u9jycupuntlo">
        <w:r>
          <w:rPr>
            <w:rStyle w:val="Hyperlink"/>
            <w:sz w:val="18"/>
            <w:szCs w:val="18"/>
          </w:rPr>
          <w:t xml:space="preserve">https://arxiv.org/abs/2408.11825</w:t>
        </w:r>
      </w:hyperlink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Dahlander et al. (2023) – AI Implementation Survey: </w:t>
      </w:r>
      <w:hyperlink w:history="1" r:id="rIdeoq6aeaqhnbwt-ktp6pul">
        <w:r>
          <w:rPr>
            <w:rStyle w:val="Hyperlink"/>
            <w:sz w:val="18"/>
            <w:szCs w:val="18"/>
          </w:rPr>
          <w:t xml:space="preserve">https://journals.sagepub.com/doi/pdf/10.1177/00081256231190430</w:t>
        </w:r>
      </w:hyperlink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Ulrich et al. – Familienunternehmen &amp; KI: </w:t>
      </w:r>
      <w:hyperlink w:history="1" r:id="rId0jz7rg8fvijmnvi8fleft">
        <w:r>
          <w:rPr>
            <w:rStyle w:val="Hyperlink"/>
            <w:sz w:val="18"/>
            <w:szCs w:val="18"/>
          </w:rPr>
          <w:t xml:space="preserve">https://virtusinterpress.org/spip.php?action=telecharger&amp;arg=11048</w:t>
        </w:r>
      </w:hyperlink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Kasneci et al. (2025) – Europe’s AI Imperative: </w:t>
      </w:r>
      <w:hyperlink w:history="1" r:id="rIdhfquk6kghujggziqcji7v">
        <w:r>
          <w:rPr>
            <w:rStyle w:val="Hyperlink"/>
            <w:sz w:val="18"/>
            <w:szCs w:val="18"/>
          </w:rPr>
          <w:t xml:space="preserve">https://arxiv.org/abs/2502.08781</w:t>
        </w:r>
      </w:hyperlink>
    </w:p>
    <w:sectPr>
      <w:headerReference w:type="default" r:id="rId15"/>
      <w:footerReference w:type="default" r:id="rId16"/>
      <w:pgSz w:w="11906" w:h="16838" w:orient="portrait"/>
      <w:pgMar w:top="1418" w:right="1418" w:bottom="1418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66666"/>
        <w:sz w:val="16"/>
        <w:szCs w:val="16"/>
      </w:rPr>
      <w:t xml:space="preserve">Seite </w:t>
    </w:r>
    <w:r>
      <w:rPr>
        <w:rFonts w:ascii="Calibri" w:cs="Calibri" w:eastAsia="Calibri" w:hAnsi="Calibri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66666"/>
        <w:sz w:val="16"/>
        <w:szCs w:val="16"/>
      </w:rPr>
      <w:t xml:space="preserve"> von </w:t>
    </w:r>
    <w:r>
      <w:rPr>
        <w:rFonts w:ascii="Calibri" w:cs="Calibri" w:eastAsia="Calibri" w:hAnsi="Calibri"/>
        <w:color w:val="6666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66666"/>
        <w:sz w:val="16"/>
        <w:szCs w:val="16"/>
      </w:rPr>
      <w:t xml:space="preserve">Seite </w:t>
    </w:r>
    <w:r>
      <w:rPr>
        <w:rFonts w:ascii="Calibri" w:cs="Calibri" w:eastAsia="Calibri" w:hAnsi="Calibri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66666"/>
        <w:sz w:val="16"/>
        <w:szCs w:val="16"/>
      </w:rPr>
      <w:t xml:space="preserve"> von </w:t>
    </w:r>
    <w:r>
      <w:rPr>
        <w:rFonts w:ascii="Calibri" w:cs="Calibri" w:eastAsia="Calibri" w:hAnsi="Calibri"/>
        <w:color w:val="6666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66666"/>
        <w:sz w:val="16"/>
        <w:szCs w:val="16"/>
      </w:rPr>
      <w:t xml:space="preserve">Seite </w:t>
    </w:r>
    <w:r>
      <w:rPr>
        <w:rFonts w:ascii="Calibri" w:cs="Calibri" w:eastAsia="Calibri" w:hAnsi="Calibri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66666"/>
        <w:sz w:val="16"/>
        <w:szCs w:val="16"/>
      </w:rPr>
      <w:t xml:space="preserve"> von </w:t>
    </w:r>
    <w:r>
      <w:rPr>
        <w:rFonts w:ascii="Calibri" w:cs="Calibri" w:eastAsia="Calibri" w:hAnsi="Calibri"/>
        <w:color w:val="6666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66666"/>
        <w:sz w:val="16"/>
        <w:szCs w:val="16"/>
      </w:rPr>
      <w:t xml:space="preserve">Seite </w:t>
    </w:r>
    <w:r>
      <w:rPr>
        <w:rFonts w:ascii="Calibri" w:cs="Calibri" w:eastAsia="Calibri" w:hAnsi="Calibri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66666"/>
        <w:sz w:val="16"/>
        <w:szCs w:val="16"/>
      </w:rPr>
      <w:t xml:space="preserve"> von </w:t>
    </w:r>
    <w:r>
      <w:rPr>
        <w:rFonts w:ascii="Calibri" w:cs="Calibri" w:eastAsia="Calibri" w:hAnsi="Calibri"/>
        <w:color w:val="6666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66666"/>
        <w:sz w:val="16"/>
        <w:szCs w:val="16"/>
      </w:rPr>
      <w:t xml:space="preserve">Seite </w:t>
    </w:r>
    <w:r>
      <w:rPr>
        <w:rFonts w:ascii="Calibri" w:cs="Calibri" w:eastAsia="Calibri" w:hAnsi="Calibri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66666"/>
        <w:sz w:val="16"/>
        <w:szCs w:val="16"/>
      </w:rPr>
      <w:t xml:space="preserve"> von </w:t>
    </w:r>
    <w:r>
      <w:rPr>
        <w:rFonts w:ascii="Calibri" w:cs="Calibri" w:eastAsia="Calibri" w:hAnsi="Calibri"/>
        <w:color w:val="6666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r>
        <w:rPr>
          <w:rStyle w:val="FootnoteReference"/>
        </w:rPr>
        <w:footnoteRef/>
      </w:r>
      <w:r>
        <w:rPr>
          <w:rFonts w:ascii="Calibri" w:cs="Calibri" w:eastAsia="Calibri" w:hAnsi="Calibri"/>
          <w:sz w:val="18"/>
          <w:szCs w:val="18"/>
        </w:rPr>
        <w:t xml:space="preserve">BDS Bayern – Über uns, </w:t>
      </w:r>
      <w:hyperlink w:history="1" r:id="rIdpw5pwnr7i6aghphsksdeh">
        <w:r>
          <w:rPr>
            <w:rStyle w:val="Hyperlink"/>
            <w:sz w:val="18"/>
            <w:szCs w:val="18"/>
          </w:rPr>
          <w:t xml:space="preserve">https://www.bds-bayern.de/ueber-uns/</w:t>
        </w:r>
      </w:hyperlink>
    </w:p>
  </w:footnote>
  <w:footnote w:id="2">
    <w:p>
      <w:r>
        <w:rPr>
          <w:rStyle w:val="FootnoteReference"/>
        </w:rPr>
        <w:footnoteRef/>
      </w:r>
      <w:r>
        <w:rPr>
          <w:rFonts w:ascii="Calibri" w:cs="Calibri" w:eastAsia="Calibri" w:hAnsi="Calibri"/>
          <w:sz w:val="18"/>
          <w:szCs w:val="18"/>
        </w:rPr>
        <w:t xml:space="preserve">IW Köln, KI als Wettbewerbsfaktor, 2025, </w:t>
      </w:r>
      <w:hyperlink w:history="1" r:id="rIdylkovhoiqhlvupwm4u4cy">
        <w:r>
          <w:rPr>
            <w:rStyle w:val="Hyperlink"/>
            <w:sz w:val="18"/>
            <w:szCs w:val="18"/>
          </w:rPr>
          <w:t xml:space="preserve">https://www.iwkoeln.de/fileadmin/user_upload/Studien/Report/PDF/2025/IW-Report_2025-KI-als-Wettbewerbsfaktor.pdf</w:t>
        </w:r>
      </w:hyperlink>
    </w:p>
  </w:footnote>
  <w:footnote w:id="3">
    <w:p>
      <w:r>
        <w:rPr>
          <w:rStyle w:val="FootnoteReference"/>
        </w:rPr>
        <w:footnoteRef/>
      </w:r>
      <w:r>
        <w:rPr>
          <w:rFonts w:ascii="Calibri" w:cs="Calibri" w:eastAsia="Calibri" w:hAnsi="Calibri"/>
          <w:sz w:val="18"/>
          <w:szCs w:val="18"/>
        </w:rPr>
        <w:t xml:space="preserve">IHK München, AI Act Ratgeber, </w:t>
      </w:r>
      <w:hyperlink w:history="1" r:id="rIdz8stastmp-x6zvmdko6mt">
        <w:r>
          <w:rPr>
            <w:rStyle w:val="Hyperlink"/>
            <w:sz w:val="18"/>
            <w:szCs w:val="18"/>
          </w:rPr>
          <w:t xml:space="preserve">https://www.ihk-muenchen.de/ratgeber/digitalisierung/kuenstliche-intelligenz/ai-act/</w:t>
        </w:r>
      </w:hyperlink>
    </w:p>
  </w:footnote>
  <w:footnote w:id="4">
    <w:p>
      <w:r>
        <w:rPr>
          <w:rStyle w:val="FootnoteReference"/>
        </w:rPr>
        <w:footnoteRef/>
      </w:r>
      <w:r>
        <w:rPr>
          <w:rFonts w:ascii="Calibri" w:cs="Calibri" w:eastAsia="Calibri" w:hAnsi="Calibri"/>
          <w:sz w:val="18"/>
          <w:szCs w:val="18"/>
        </w:rPr>
        <w:t xml:space="preserve">Bundesnetzagentur, Digitalisierung Mittelstand, </w:t>
      </w:r>
      <w:hyperlink w:history="1" r:id="rIdhnmahshpydbsp7-1n-fs-">
        <w:r>
          <w:rPr>
            <w:rStyle w:val="Hyperlink"/>
            <w:sz w:val="18"/>
            <w:szCs w:val="18"/>
          </w:rPr>
          <w:t xml:space="preserve">https://www.bundesnetzagentur.de/DE/Fachthemen/Digitales/Mittelstand/Kennzahlen/artikel.html</w:t>
        </w:r>
      </w:hyperlink>
    </w:p>
  </w:footnote>
  <w:footnote w:id="5">
    <w:p>
      <w:r>
        <w:rPr>
          <w:rStyle w:val="FootnoteReference"/>
        </w:rPr>
        <w:footnoteRef/>
      </w:r>
      <w:r>
        <w:rPr>
          <w:rFonts w:ascii="Calibri" w:cs="Calibri" w:eastAsia="Calibri" w:hAnsi="Calibri"/>
          <w:sz w:val="18"/>
          <w:szCs w:val="18"/>
        </w:rPr>
        <w:t xml:space="preserve">IfM Bonn, Digitalisierung der KMU im EU-Vergleich, 2025, </w:t>
      </w:r>
      <w:hyperlink w:history="1" r:id="rIddzfrugzcpyxvt9nsnjtzk">
        <w:r>
          <w:rPr>
            <w:rStyle w:val="Hyperlink"/>
            <w:sz w:val="18"/>
            <w:szCs w:val="18"/>
          </w:rPr>
          <w:t xml:space="preserve">https://www.ifm-bonn.org/statistiken/mittelstand-im-einzelnen/digitalisierung-der-kmu-im-eu-vergleich</w:t>
        </w:r>
      </w:hyperlink>
    </w:p>
  </w:footnote>
  <w:footnote w:id="6">
    <w:p>
      <w:r>
        <w:rPr>
          <w:rStyle w:val="FootnoteReference"/>
        </w:rPr>
        <w:footnoteRef/>
      </w:r>
      <w:r>
        <w:rPr>
          <w:rFonts w:ascii="Calibri" w:cs="Calibri" w:eastAsia="Calibri" w:hAnsi="Calibri"/>
          <w:sz w:val="18"/>
          <w:szCs w:val="18"/>
        </w:rPr>
        <w:t xml:space="preserve">Hussain &amp; Rizwan, AI Adoption in SMEs, 2024, </w:t>
      </w:r>
      <w:hyperlink w:history="1" r:id="rIdg5p96gel3cdu9ffjqm66d">
        <w:r>
          <w:rPr>
            <w:rStyle w:val="Hyperlink"/>
            <w:sz w:val="18"/>
            <w:szCs w:val="18"/>
          </w:rPr>
          <w:t xml:space="preserve">https://arxiv.org/abs/2408.11825</w:t>
        </w:r>
      </w:hyperlink>
    </w:p>
  </w:footnote>
  <w:footnote w:id="7">
    <w:p>
      <w:r>
        <w:rPr>
          <w:rStyle w:val="FootnoteReference"/>
        </w:rPr>
        <w:footnoteRef/>
      </w:r>
      <w:r>
        <w:rPr>
          <w:rFonts w:ascii="Calibri" w:cs="Calibri" w:eastAsia="Calibri" w:hAnsi="Calibri"/>
          <w:sz w:val="18"/>
          <w:szCs w:val="18"/>
        </w:rPr>
        <w:t xml:space="preserve">deutschland-startet.de, EU AI Act ab 2026, </w:t>
      </w:r>
      <w:hyperlink w:history="1" r:id="rIdhg3pxxg-whqegboihzvkv">
        <w:r>
          <w:rPr>
            <w:rStyle w:val="Hyperlink"/>
            <w:sz w:val="18"/>
            <w:szCs w:val="18"/>
          </w:rPr>
          <w:t xml:space="preserve">https://www.deutschland-startet.de/eu-ai-act-gruendung-ab-2026/</w:t>
        </w:r>
      </w:hyperlink>
    </w:p>
  </w:footnote>
  <w:footnote w:id="8">
    <w:p>
      <w:r>
        <w:rPr>
          <w:rStyle w:val="FootnoteReference"/>
        </w:rPr>
        <w:footnoteRef/>
      </w:r>
      <w:r>
        <w:rPr>
          <w:rFonts w:ascii="Calibri" w:cs="Calibri" w:eastAsia="Calibri" w:hAnsi="Calibri"/>
          <w:sz w:val="18"/>
          <w:szCs w:val="18"/>
        </w:rPr>
        <w:t xml:space="preserve">für-gründer.de, AI Act für Gründer, </w:t>
      </w:r>
      <w:hyperlink w:history="1" r:id="rIdllzkzvklzbnqcwe88n68f">
        <w:r>
          <w:rPr>
            <w:rStyle w:val="Hyperlink"/>
            <w:sz w:val="18"/>
            <w:szCs w:val="18"/>
          </w:rPr>
          <w:t xml:space="preserve">https://www.fuer-gruender.de/blog/ai-act-was-gruender-wissen-muessen/</w:t>
        </w:r>
      </w:hyperlink>
    </w:p>
  </w:footnote>
  <w:footnote w:id="9">
    <w:p>
      <w:r>
        <w:rPr>
          <w:rStyle w:val="FootnoteReference"/>
        </w:rPr>
        <w:footnoteRef/>
      </w:r>
      <w:r>
        <w:rPr>
          <w:rFonts w:ascii="Calibri" w:cs="Calibri" w:eastAsia="Calibri" w:hAnsi="Calibri"/>
          <w:sz w:val="18"/>
          <w:szCs w:val="18"/>
        </w:rPr>
        <w:t xml:space="preserve">Kasneci et al., Europe’s AI Imperative, 2025, </w:t>
      </w:r>
      <w:hyperlink w:history="1" r:id="rIdtawnhmm3tniozfgl78vs9">
        <w:r>
          <w:rPr>
            <w:rStyle w:val="Hyperlink"/>
            <w:sz w:val="18"/>
            <w:szCs w:val="18"/>
          </w:rPr>
          <w:t xml:space="preserve">https://arxiv.org/abs/2502.08781</w:t>
        </w:r>
      </w:hyperlink>
    </w:p>
  </w:footnote>
  <w:footnote w:id="10">
    <w:p>
      <w:r>
        <w:rPr>
          <w:rStyle w:val="FootnoteReference"/>
        </w:rPr>
        <w:footnoteRef/>
      </w:r>
      <w:r>
        <w:rPr>
          <w:rFonts w:ascii="Calibri" w:cs="Calibri" w:eastAsia="Calibri" w:hAnsi="Calibri"/>
          <w:sz w:val="18"/>
          <w:szCs w:val="18"/>
        </w:rPr>
        <w:t xml:space="preserve">BDS Branchenbuch, </w:t>
      </w:r>
      <w:hyperlink w:history="1" r:id="rIdlxasj59tyit5uxlauv_xd">
        <w:r>
          <w:rPr>
            <w:rStyle w:val="Hyperlink"/>
            <w:sz w:val="18"/>
            <w:szCs w:val="18"/>
          </w:rPr>
          <w:t xml:space="preserve">https://www.bds-branchen.de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i/>
        <w:iCs/>
        <w:color w:val="666666"/>
        <w:sz w:val="16"/>
        <w:szCs w:val="16"/>
      </w:rPr>
      <w:t xml:space="preserve">BDS Workshop-Outline | KI im Unternehmeralltag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i/>
        <w:iCs/>
        <w:color w:val="666666"/>
        <w:sz w:val="16"/>
        <w:szCs w:val="16"/>
      </w:rPr>
      <w:t xml:space="preserve">BDS Workshop-Outline | KI im Unternehmeralltag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i/>
        <w:iCs/>
        <w:color w:val="666666"/>
        <w:sz w:val="16"/>
        <w:szCs w:val="16"/>
      </w:rPr>
      <w:t xml:space="preserve">BDS Workshop-Outline | KI im Unternehmeralltag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i/>
        <w:iCs/>
        <w:color w:val="666666"/>
        <w:sz w:val="16"/>
        <w:szCs w:val="16"/>
      </w:rPr>
      <w:t xml:space="preserve">BDS Workshop-Outline | KI im Unternehmeralltag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i/>
        <w:iCs/>
        <w:color w:val="666666"/>
        <w:sz w:val="16"/>
        <w:szCs w:val="16"/>
      </w:rPr>
      <w:t xml:space="preserve">BDS Workshop-Outline | KI im Unternehmeralltag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108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Calibri" w:cs="Calibri" w:eastAsia="Calibri" w:hAnsi="Calibri"/>
      <w:b/>
      <w:bCs/>
      <w:color w:val="01696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Calibri" w:cs="Calibri" w:eastAsia="Calibri" w:hAnsi="Calibri"/>
      <w:b/>
      <w:bCs/>
      <w:color w:val="1A1A1A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Calibri" w:cs="Calibri" w:eastAsia="Calibri" w:hAnsi="Calibri"/>
      <w:b/>
      <w:bCs/>
      <w:color w:val="01696F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0npcjbfeyrksclboi6ger" Type="http://schemas.openxmlformats.org/officeDocument/2006/relationships/hyperlink" Target="https://www.bds-bayern.de/ueber-uns/" TargetMode="External"/><Relationship Id="rIdt07jjryslomawwyy2-tq_" Type="http://schemas.openxmlformats.org/officeDocument/2006/relationships/hyperlink" Target="https://de.wikipedia.org/wiki/Bund_der_Selbst%C3%A4ndigen_%E2%80%93_Gewerbeverband_Bayern" TargetMode="External"/><Relationship Id="rIdmpmiymct3zio4puopouby" Type="http://schemas.openxmlformats.org/officeDocument/2006/relationships/hyperlink" Target="https://www.bds-branchen.de" TargetMode="External"/><Relationship Id="rIdvht3684gpttdyipfgws3k" Type="http://schemas.openxmlformats.org/officeDocument/2006/relationships/hyperlink" Target="https://www.bds-im-dialog.de/eintrag-im-branchenbuch-des-bds/" TargetMode="External"/><Relationship Id="rIduh7umlu28wgswgeh3awvy" Type="http://schemas.openxmlformats.org/officeDocument/2006/relationships/hyperlink" Target="https://www.iwkoeln.de/fileadmin/user_upload/Studien/Report/PDF/2025/IW-Report_2025-KI-als-Wettbewerbsfaktor.pdf" TargetMode="External"/><Relationship Id="rIdptmix8mbn1tmzzfeoy8xs" Type="http://schemas.openxmlformats.org/officeDocument/2006/relationships/hyperlink" Target="https://www.bundesnetzagentur.de/DE/Fachthemen/Digitales/Mittelstand/Kennzahlen/artikel.html" TargetMode="External"/><Relationship Id="rIdf2ntwp837a0oid9pl6ilr" Type="http://schemas.openxmlformats.org/officeDocument/2006/relationships/hyperlink" Target="https://www.ifm-bonn.org/statistiken/mittelstand-im-einzelnen/digitalisierung-der-kmu-im-eu-vergleich" TargetMode="External"/><Relationship Id="rIdw2jafrgv20tixxhx86jwz" Type="http://schemas.openxmlformats.org/officeDocument/2006/relationships/hyperlink" Target="https://www.ihk-muenchen.de/ratgeber/digitalisierung/kuenstliche-intelligenz/ai-act/" TargetMode="External"/><Relationship Id="rIds9sr28yus2kz0vtby1rbc" Type="http://schemas.openxmlformats.org/officeDocument/2006/relationships/hyperlink" Target="https://www.deutschland-startet.de/eu-ai-act-gruendung-ab-2026/" TargetMode="External"/><Relationship Id="rIdla3yciyulqzuyxev31cdq" Type="http://schemas.openxmlformats.org/officeDocument/2006/relationships/hyperlink" Target="https://www.fuer-gruender.de/blog/ai-act-was-gruender-wissen-muessen/" TargetMode="External"/><Relationship Id="rIddcf1i0mb-u9jycupuntlo" Type="http://schemas.openxmlformats.org/officeDocument/2006/relationships/hyperlink" Target="https://arxiv.org/abs/2408.11825" TargetMode="External"/><Relationship Id="rIdeoq6aeaqhnbwt-ktp6pul" Type="http://schemas.openxmlformats.org/officeDocument/2006/relationships/hyperlink" Target="https://journals.sagepub.com/doi/pdf/10.1177/00081256231190430" TargetMode="External"/><Relationship Id="rId0jz7rg8fvijmnvi8fleft" Type="http://schemas.openxmlformats.org/officeDocument/2006/relationships/hyperlink" Target="https://virtusinterpress.org/spip.php?action=telecharger&amp;arg=11048" TargetMode="External"/><Relationship Id="rIdhfquk6kghujggziqcji7v" Type="http://schemas.openxmlformats.org/officeDocument/2006/relationships/hyperlink" Target="https://arxiv.org/abs/2502.08781" TargetMode="External"/><Relationship Id="rId3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er3.xml.rels><?xml version="1.0" encoding="UTF-8"?><Relationships xmlns="http://schemas.openxmlformats.org/package/2006/relationships"/>
</file>

<file path=word/_rels/footer4.xml.rels><?xml version="1.0" encoding="UTF-8"?><Relationships xmlns="http://schemas.openxmlformats.org/package/2006/relationships"/>
</file>

<file path=word/_rels/footer5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><Relationship Id="rIdpw5pwnr7i6aghphsksdeh" Type="http://schemas.openxmlformats.org/officeDocument/2006/relationships/hyperlink" Target="https://www.bds-bayern.de/ueber-uns/" TargetMode="External"/><Relationship Id="rIdylkovhoiqhlvupwm4u4cy" Type="http://schemas.openxmlformats.org/officeDocument/2006/relationships/hyperlink" Target="https://www.iwkoeln.de/fileadmin/user_upload/Studien/Report/PDF/2025/IW-Report_2025-KI-als-Wettbewerbsfaktor.pdf" TargetMode="External"/><Relationship Id="rIdz8stastmp-x6zvmdko6mt" Type="http://schemas.openxmlformats.org/officeDocument/2006/relationships/hyperlink" Target="https://www.ihk-muenchen.de/ratgeber/digitalisierung/kuenstliche-intelligenz/ai-act/" TargetMode="External"/><Relationship Id="rIdhnmahshpydbsp7-1n-fs-" Type="http://schemas.openxmlformats.org/officeDocument/2006/relationships/hyperlink" Target="https://www.bundesnetzagentur.de/DE/Fachthemen/Digitales/Mittelstand/Kennzahlen/artikel.html" TargetMode="External"/><Relationship Id="rIddzfrugzcpyxvt9nsnjtzk" Type="http://schemas.openxmlformats.org/officeDocument/2006/relationships/hyperlink" Target="https://www.ifm-bonn.org/statistiken/mittelstand-im-einzelnen/digitalisierung-der-kmu-im-eu-vergleich" TargetMode="External"/><Relationship Id="rIdg5p96gel3cdu9ffjqm66d" Type="http://schemas.openxmlformats.org/officeDocument/2006/relationships/hyperlink" Target="https://arxiv.org/abs/2408.11825" TargetMode="External"/><Relationship Id="rIdhg3pxxg-whqegboihzvkv" Type="http://schemas.openxmlformats.org/officeDocument/2006/relationships/hyperlink" Target="https://www.deutschland-startet.de/eu-ai-act-gruendung-ab-2026/" TargetMode="External"/><Relationship Id="rIdllzkzvklzbnqcwe88n68f" Type="http://schemas.openxmlformats.org/officeDocument/2006/relationships/hyperlink" Target="https://www.fuer-gruender.de/blog/ai-act-was-gruender-wissen-muessen/" TargetMode="External"/><Relationship Id="rIdtawnhmm3tniozfgl78vs9" Type="http://schemas.openxmlformats.org/officeDocument/2006/relationships/hyperlink" Target="https://arxiv.org/abs/2502.08781" TargetMode="External"/><Relationship Id="rIdlxasj59tyit5uxlauv_xd" Type="http://schemas.openxmlformats.org/officeDocument/2006/relationships/hyperlink" Target="https://www.bds-branchen.de" TargetMode="External"/></Relationships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word/_rels/header3.xml.rels><?xml version="1.0" encoding="UTF-8"?><Relationships xmlns="http://schemas.openxmlformats.org/package/2006/relationships"/>
</file>

<file path=word/_rels/header4.xml.rels><?xml version="1.0" encoding="UTF-8"?><Relationships xmlns="http://schemas.openxmlformats.org/package/2006/relationships"/>
</file>

<file path=word/_rels/header5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2026-03-17T16:58:21.790Z</dcterms:created>
  <dcterms:modified xsi:type="dcterms:W3CDTF">2026-03-17T16:58:21.790Z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